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45" w:type="dxa"/>
        <w:jc w:val="center"/>
        <w:tblInd w:w="0" w:type="dxa"/>
        <w:tblLayout w:type="fixed"/>
        <w:tblCellMar>
          <w:top w:w="0" w:type="dxa"/>
          <w:left w:w="108" w:type="dxa"/>
          <w:bottom w:w="0" w:type="dxa"/>
          <w:right w:w="108" w:type="dxa"/>
        </w:tblCellMar>
      </w:tblPr>
      <w:tblGrid>
        <w:gridCol w:w="1263"/>
        <w:gridCol w:w="1264"/>
        <w:gridCol w:w="1263"/>
        <w:gridCol w:w="1264"/>
        <w:gridCol w:w="1263"/>
        <w:gridCol w:w="1264"/>
        <w:gridCol w:w="1264"/>
      </w:tblGrid>
      <w:tr>
        <w:tblPrEx>
          <w:tblLayout w:type="fixed"/>
          <w:tblCellMar>
            <w:top w:w="0" w:type="dxa"/>
            <w:left w:w="108" w:type="dxa"/>
            <w:bottom w:w="0" w:type="dxa"/>
            <w:right w:w="108" w:type="dxa"/>
          </w:tblCellMar>
        </w:tblPrEx>
        <w:trPr>
          <w:trHeight w:val="1701" w:hRule="atLeast"/>
          <w:jc w:val="center"/>
        </w:trPr>
        <w:tc>
          <w:tcPr>
            <w:tcW w:w="8845" w:type="dxa"/>
            <w:gridSpan w:val="7"/>
            <w:shd w:val="clear" w:color="auto" w:fill="auto"/>
            <w:vAlign w:val="center"/>
          </w:tcPr>
          <w:p>
            <w:pPr>
              <w:snapToGrid w:val="0"/>
              <w:jc w:val="center"/>
              <w:rPr>
                <w:rFonts w:hint="eastAsia" w:ascii="方正小标宋简体" w:hAnsi="Bookman Old Style" w:eastAsia="方正小标宋简体"/>
                <w:color w:val="FF0000"/>
                <w:spacing w:val="40"/>
                <w:w w:val="90"/>
                <w:sz w:val="72"/>
                <w:szCs w:val="72"/>
              </w:rPr>
            </w:pPr>
            <w:r>
              <w:rPr>
                <w:rFonts w:hint="eastAsia" w:eastAsia="方正小标宋简体"/>
                <w:color w:val="FF0000"/>
                <w:spacing w:val="20"/>
                <w:sz w:val="72"/>
                <w:szCs w:val="72"/>
              </w:rPr>
              <mc:AlternateContent>
                <mc:Choice Requires="wpg">
                  <w:drawing>
                    <wp:anchor distT="0" distB="0" distL="114300" distR="114300" simplePos="0" relativeHeight="251658240" behindDoc="0" locked="0" layoutInCell="1" allowOverlap="1">
                      <wp:simplePos x="0" y="0"/>
                      <wp:positionH relativeFrom="column">
                        <wp:posOffset>3641090</wp:posOffset>
                      </wp:positionH>
                      <wp:positionV relativeFrom="paragraph">
                        <wp:posOffset>901700</wp:posOffset>
                      </wp:positionV>
                      <wp:extent cx="1365885" cy="1136015"/>
                      <wp:effectExtent l="0" t="0" r="5715" b="6985"/>
                      <wp:wrapNone/>
                      <wp:docPr id="3" name="Group 32"/>
                      <wp:cNvGraphicFramePr/>
                      <a:graphic xmlns:a="http://schemas.openxmlformats.org/drawingml/2006/main">
                        <a:graphicData uri="http://schemas.microsoft.com/office/word/2010/wordprocessingGroup">
                          <wpg:wgp>
                            <wpg:cNvGrpSpPr/>
                            <wpg:grpSpPr>
                              <a:xfrm>
                                <a:off x="0" y="0"/>
                                <a:ext cx="1365885" cy="1136015"/>
                                <a:chOff x="6652" y="2244"/>
                                <a:chExt cx="2154" cy="937"/>
                              </a:xfrm>
                            </wpg:grpSpPr>
                            <wps:wsp>
                              <wps:cNvPr id="4" name="文本框 2"/>
                              <wps:cNvSpPr txBox="1">
                                <a:spLocks noChangeArrowheads="1"/>
                              </wps:cNvSpPr>
                              <wps:spPr bwMode="auto">
                                <a:xfrm>
                                  <a:off x="6652" y="2244"/>
                                  <a:ext cx="2154" cy="510"/>
                                </a:xfrm>
                                <a:prstGeom prst="rect">
                                  <a:avLst/>
                                </a:prstGeom>
                                <a:solidFill>
                                  <a:srgbClr val="FFFFFF"/>
                                </a:solidFill>
                                <a:ln>
                                  <a:noFill/>
                                </a:ln>
                              </wps:spPr>
                              <wps:txbx>
                                <w:txbxContent>
                                  <w:p>
                                    <w:pPr>
                                      <w:jc w:val="center"/>
                                      <w:rPr>
                                        <w:rFonts w:hint="eastAsia" w:eastAsia="宋体"/>
                                        <w:sz w:val="30"/>
                                        <w:szCs w:val="30"/>
                                        <w:lang w:eastAsia="zh-CN"/>
                                      </w:rPr>
                                    </w:pPr>
                                    <w:r>
                                      <w:rPr>
                                        <w:rFonts w:hint="eastAsia" w:ascii="宋体" w:hAnsi="宋体"/>
                                        <w:color w:val="000000"/>
                                        <w:sz w:val="30"/>
                                        <w:szCs w:val="30"/>
                                        <w:lang w:eastAsia="zh-CN"/>
                                      </w:rPr>
                                      <w:t>资产与后勤事务管理处</w:t>
                                    </w:r>
                                  </w:p>
                                </w:txbxContent>
                              </wps:txbx>
                              <wps:bodyPr rot="0" vert="horz" wrap="square" lIns="91440" tIns="45720" rIns="91440" bIns="45720" anchor="t" anchorCtr="0" upright="1">
                                <a:noAutofit/>
                              </wps:bodyPr>
                            </wps:wsp>
                            <wps:wsp>
                              <wps:cNvPr id="5" name="文本框 2"/>
                              <wps:cNvSpPr txBox="1">
                                <a:spLocks noChangeArrowheads="1"/>
                              </wps:cNvSpPr>
                              <wps:spPr bwMode="auto">
                                <a:xfrm>
                                  <a:off x="6652" y="2671"/>
                                  <a:ext cx="2154" cy="510"/>
                                </a:xfrm>
                                <a:prstGeom prst="rect">
                                  <a:avLst/>
                                </a:prstGeom>
                                <a:solidFill>
                                  <a:srgbClr val="FFFFFF"/>
                                </a:solidFill>
                                <a:ln>
                                  <a:noFill/>
                                </a:ln>
                              </wps:spPr>
                              <wps:txbx>
                                <w:txbxContent>
                                  <w:p>
                                    <w:pPr>
                                      <w:jc w:val="center"/>
                                      <w:rPr>
                                        <w:rFonts w:hint="eastAsia" w:eastAsia="宋体"/>
                                        <w:sz w:val="30"/>
                                        <w:szCs w:val="30"/>
                                        <w:lang w:eastAsia="zh-CN"/>
                                      </w:rPr>
                                    </w:pPr>
                                    <w:r>
                                      <w:rPr>
                                        <w:rFonts w:hint="eastAsia" w:ascii="宋体" w:hAnsi="宋体"/>
                                        <w:color w:val="000000"/>
                                        <w:sz w:val="30"/>
                                        <w:szCs w:val="30"/>
                                        <w:lang w:eastAsia="zh-CN"/>
                                      </w:rPr>
                                      <w:t>通知</w:t>
                                    </w:r>
                                  </w:p>
                                </w:txbxContent>
                              </wps:txbx>
                              <wps:bodyPr rot="0" vert="horz" wrap="square" lIns="91440" tIns="45720" rIns="91440" bIns="45720" anchor="t" anchorCtr="0" upright="1">
                                <a:noAutofit/>
                              </wps:bodyPr>
                            </wps:wsp>
                          </wpg:wgp>
                        </a:graphicData>
                      </a:graphic>
                    </wp:anchor>
                  </w:drawing>
                </mc:Choice>
                <mc:Fallback>
                  <w:pict>
                    <v:group id="Group 32" o:spid="_x0000_s1026" o:spt="203" style="position:absolute;left:0pt;margin-left:286.7pt;margin-top:71pt;height:89.45pt;width:107.55pt;z-index:251658240;mso-width-relative:page;mso-height-relative:page;" coordorigin="6652,2244" coordsize="2154,937" o:gfxdata="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&#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CuLlRx3AAAAAsBAAAPAAAAAAAAAAEAIAAAADgAAABk&#10;cnMvZG93bnJldi54bWxQSwECFAAUAAAACACHTuJAcw91C5cCAACABwAADgAAAAAAAAABACAAAABB&#10;AQAAZHJzL2Uyb0RvYy54bWxQSwUGAAAAAAYABgBZAQAASgYAAAAA&#10;">
                      <o:lock v:ext="edit" aspectratio="f"/>
                      <v:shape id="文本框 2" o:spid="_x0000_s1026" o:spt="202" type="#_x0000_t202" style="position:absolute;left:6652;top:2244;height:510;width:2154;" fillcolor="#FFFFFF" filled="t" stroked="f" coordsize="21600,21600" o:gfxdata="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gBL6BLcAAADaAAAADwAAAAAAAAABACAAAAA4AAAAZHJzL2Rvd25yZXYueG1sUEsB&#10;AhQAFAAAAAgAh07iQDMvBZ47AAAAOQAAABAAAAAAAAAAAQAgAAAAHAEAAGRycy9zaGFwZXhtbC54&#10;bWxQSwUGAAAAAAYABgBbAQAAxgMAAAAA&#10;">
                        <v:fill on="t" focussize="0,0"/>
                        <v:stroke on="f"/>
                        <v:imagedata o:title=""/>
                        <o:lock v:ext="edit" aspectratio="f"/>
                        <v:textbox>
                          <w:txbxContent>
                            <w:p>
                              <w:pPr>
                                <w:jc w:val="center"/>
                                <w:rPr>
                                  <w:rFonts w:hint="eastAsia" w:eastAsia="宋体"/>
                                  <w:sz w:val="30"/>
                                  <w:szCs w:val="30"/>
                                  <w:lang w:eastAsia="zh-CN"/>
                                </w:rPr>
                              </w:pPr>
                              <w:r>
                                <w:rPr>
                                  <w:rFonts w:hint="eastAsia" w:ascii="宋体" w:hAnsi="宋体"/>
                                  <w:color w:val="000000"/>
                                  <w:sz w:val="30"/>
                                  <w:szCs w:val="30"/>
                                  <w:lang w:eastAsia="zh-CN"/>
                                </w:rPr>
                                <w:t>资产与后勤事务管理处</w:t>
                              </w:r>
                            </w:p>
                          </w:txbxContent>
                        </v:textbox>
                      </v:shape>
                      <v:shape id="文本框 2" o:spid="_x0000_s1026" o:spt="202" type="#_x0000_t202" style="position:absolute;left:6652;top:2671;height:510;width:2154;" fillcolor="#FFFFFF" filled="t" stroked="f" coordsize="21600,21600" o:gfxdata="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15fn7cAAADaAAAADwAAAAAAAAABACAAAAA4AAAAZHJzL2Rvd25yZXYueG1sUEsB&#10;AhQAFAAAAAgAh07iQDMvBZ47AAAAOQAAABAAAAAAAAAAAQAgAAAAHAEAAGRycy9zaGFwZXhtbC54&#10;bWxQSwUGAAAAAAYABgBbAQAAxgMAAAAA&#10;">
                        <v:fill on="t" focussize="0,0"/>
                        <v:stroke on="f"/>
                        <v:imagedata o:title=""/>
                        <o:lock v:ext="edit" aspectratio="f"/>
                        <v:textbox>
                          <w:txbxContent>
                            <w:p>
                              <w:pPr>
                                <w:jc w:val="center"/>
                                <w:rPr>
                                  <w:rFonts w:hint="eastAsia" w:eastAsia="宋体"/>
                                  <w:sz w:val="30"/>
                                  <w:szCs w:val="30"/>
                                  <w:lang w:eastAsia="zh-CN"/>
                                </w:rPr>
                              </w:pPr>
                              <w:r>
                                <w:rPr>
                                  <w:rFonts w:hint="eastAsia" w:ascii="宋体" w:hAnsi="宋体"/>
                                  <w:color w:val="000000"/>
                                  <w:sz w:val="30"/>
                                  <w:szCs w:val="30"/>
                                  <w:lang w:eastAsia="zh-CN"/>
                                </w:rPr>
                                <w:t>通知</w:t>
                              </w:r>
                            </w:p>
                          </w:txbxContent>
                        </v:textbox>
                      </v:shape>
                    </v:group>
                  </w:pict>
                </mc:Fallback>
              </mc:AlternateContent>
            </w:r>
          </w:p>
        </w:tc>
      </w:tr>
      <w:tr>
        <w:tblPrEx>
          <w:tblLayout w:type="fixed"/>
          <w:tblCellMar>
            <w:top w:w="0" w:type="dxa"/>
            <w:left w:w="108" w:type="dxa"/>
            <w:bottom w:w="0" w:type="dxa"/>
            <w:right w:w="108" w:type="dxa"/>
          </w:tblCellMar>
        </w:tblPrEx>
        <w:trPr>
          <w:trHeight w:val="1134" w:hRule="atLeast"/>
          <w:jc w:val="center"/>
        </w:trPr>
        <w:tc>
          <w:tcPr>
            <w:tcW w:w="1263"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厦</w:t>
            </w:r>
          </w:p>
        </w:tc>
        <w:tc>
          <w:tcPr>
            <w:tcW w:w="1264"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门</w:t>
            </w:r>
          </w:p>
        </w:tc>
        <w:tc>
          <w:tcPr>
            <w:tcW w:w="1263"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大</w:t>
            </w:r>
          </w:p>
        </w:tc>
        <w:tc>
          <w:tcPr>
            <w:tcW w:w="1264"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学</w:t>
            </w:r>
          </w:p>
        </w:tc>
        <w:tc>
          <w:tcPr>
            <w:tcW w:w="1263" w:type="dxa"/>
            <w:shd w:val="clear" w:color="auto" w:fill="auto"/>
            <w:vAlign w:val="center"/>
          </w:tcPr>
          <w:p>
            <w:pPr>
              <w:snapToGrid w:val="0"/>
              <w:jc w:val="left"/>
              <w:rPr>
                <w:rFonts w:hint="eastAsia" w:eastAsia="方正小标宋简体"/>
                <w:color w:val="FF0000"/>
                <w:spacing w:val="20"/>
                <w:sz w:val="72"/>
                <w:szCs w:val="72"/>
              </w:rPr>
            </w:pPr>
            <w:r>
              <w:rPr>
                <w:rFonts w:hint="eastAsia" w:eastAsia="方正小标宋简体"/>
                <w:color w:val="FF0000"/>
                <w:spacing w:val="20"/>
                <w:sz w:val="84"/>
                <w:szCs w:val="84"/>
              </w:rPr>
              <w:t>（</w:t>
            </w:r>
          </w:p>
        </w:tc>
        <w:tc>
          <w:tcPr>
            <w:tcW w:w="1264" w:type="dxa"/>
            <w:shd w:val="clear" w:color="auto" w:fill="auto"/>
            <w:vAlign w:val="center"/>
          </w:tcPr>
          <w:p>
            <w:pPr>
              <w:snapToGrid w:val="0"/>
              <w:jc w:val="center"/>
              <w:rPr>
                <w:rFonts w:hint="eastAsia" w:eastAsia="方正小标宋简体"/>
                <w:color w:val="FF0000"/>
                <w:spacing w:val="20"/>
                <w:sz w:val="72"/>
                <w:szCs w:val="72"/>
              </w:rPr>
            </w:pPr>
          </w:p>
        </w:tc>
        <w:tc>
          <w:tcPr>
            <w:tcW w:w="1264" w:type="dxa"/>
            <w:shd w:val="clear" w:color="auto" w:fill="auto"/>
            <w:vAlign w:val="center"/>
          </w:tcPr>
          <w:p>
            <w:pPr>
              <w:snapToGrid w:val="0"/>
              <w:jc w:val="right"/>
              <w:rPr>
                <w:rFonts w:hint="eastAsia" w:eastAsia="方正小标宋简体"/>
                <w:color w:val="FF0000"/>
                <w:spacing w:val="20"/>
                <w:sz w:val="72"/>
                <w:szCs w:val="72"/>
              </w:rPr>
            </w:pPr>
            <w:r>
              <w:rPr>
                <w:rFonts w:hint="eastAsia" w:eastAsia="方正小标宋简体"/>
                <w:color w:val="FF0000"/>
                <w:spacing w:val="20"/>
                <w:sz w:val="84"/>
                <w:szCs w:val="84"/>
              </w:rPr>
              <w:t>）</w:t>
            </w:r>
          </w:p>
        </w:tc>
      </w:tr>
      <w:tr>
        <w:tblPrEx>
          <w:tblLayout w:type="fixed"/>
          <w:tblCellMar>
            <w:top w:w="0" w:type="dxa"/>
            <w:left w:w="108" w:type="dxa"/>
            <w:bottom w:w="0" w:type="dxa"/>
            <w:right w:w="108" w:type="dxa"/>
          </w:tblCellMar>
        </w:tblPrEx>
        <w:trPr>
          <w:trHeight w:val="1134" w:hRule="atLeast"/>
          <w:jc w:val="center"/>
        </w:trPr>
        <w:tc>
          <w:tcPr>
            <w:tcW w:w="8845" w:type="dxa"/>
            <w:gridSpan w:val="7"/>
            <w:shd w:val="clear" w:color="auto" w:fill="auto"/>
            <w:vAlign w:val="bottom"/>
          </w:tcPr>
          <w:p>
            <w:pPr>
              <w:snapToGrid w:val="0"/>
              <w:spacing w:line="560" w:lineRule="exact"/>
              <w:jc w:val="center"/>
              <w:rPr>
                <w:rFonts w:hint="eastAsia" w:ascii="Bookman Old Style" w:hAnsi="Bookman Old Style" w:eastAsia="宋体"/>
                <w:b/>
                <w:color w:val="FF0000"/>
                <w:spacing w:val="50"/>
                <w:w w:val="90"/>
                <w:sz w:val="44"/>
                <w:lang w:eastAsia="zh-CN"/>
              </w:rPr>
            </w:pPr>
            <w:bookmarkStart w:id="0" w:name="docnum"/>
            <w:r>
              <w:rPr>
                <w:rFonts w:hint="eastAsia" w:ascii="仿宋" w:hAnsi="仿宋" w:eastAsia="仿宋"/>
                <w:sz w:val="32"/>
                <w:lang w:eastAsia="zh-CN"/>
              </w:rPr>
              <w:t>（2022）厦大资产16号</w:t>
            </w:r>
            <w:bookmarkEnd w:id="0"/>
          </w:p>
        </w:tc>
      </w:tr>
      <w:tr>
        <w:tblPrEx>
          <w:tblLayout w:type="fixed"/>
          <w:tblCellMar>
            <w:top w:w="0" w:type="dxa"/>
            <w:left w:w="108" w:type="dxa"/>
            <w:bottom w:w="0" w:type="dxa"/>
            <w:right w:w="108" w:type="dxa"/>
          </w:tblCellMar>
        </w:tblPrEx>
        <w:trPr>
          <w:trHeight w:val="567" w:hRule="atLeast"/>
          <w:jc w:val="center"/>
        </w:trPr>
        <w:tc>
          <w:tcPr>
            <w:tcW w:w="8845" w:type="dxa"/>
            <w:gridSpan w:val="7"/>
            <w:shd w:val="clear" w:color="auto" w:fill="auto"/>
          </w:tcPr>
          <w:p>
            <w:pPr>
              <w:jc w:val="center"/>
              <w:rPr>
                <w:rFonts w:hint="eastAsia" w:ascii="Bookman Old Style" w:hAnsi="Bookman Old Style"/>
                <w:b/>
                <w:color w:val="FF0000"/>
                <w:spacing w:val="50"/>
                <w:w w:val="90"/>
                <w:sz w:val="44"/>
                <w:szCs w:val="44"/>
              </w:rPr>
            </w:pPr>
            <w:r>
              <w:rPr>
                <w:rFonts w:hint="eastAsia" w:ascii="仿宋" w:hAnsi="仿宋" w:eastAsia="仿宋"/>
                <w:sz w:val="44"/>
                <w:szCs w:val="44"/>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146050</wp:posOffset>
                      </wp:positionV>
                      <wp:extent cx="5615940" cy="0"/>
                      <wp:effectExtent l="13335" t="10160" r="9525" b="18415"/>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ln>
                            </wps:spPr>
                            <wps:bodyPr/>
                          </wps:wsp>
                        </a:graphicData>
                      </a:graphic>
                    </wp:anchor>
                  </w:drawing>
                </mc:Choice>
                <mc:Fallback>
                  <w:pict>
                    <v:shape id="AutoShape 12" o:spid="_x0000_s1026" o:spt="32" type="#_x0000_t32" style="position:absolute;left:0pt;margin-left:-2.7pt;margin-top:11.5pt;height:0pt;width:442.2pt;z-index:251658240;mso-width-relative:page;mso-height-relative:page;" filled="f" stroked="t" coordsize="21600,21600" o:gfxdata="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sJaxtYAAAAIAQAADwAAAAAAAAABACAAAAA4&#10;AAAAZHJzL2Rvd25yZXYueG1sUEsBAhQAFAAAAAgAh07iQAn1Kta9AQAAZgMAAA4AAAAAAAAAAQAg&#10;AAAAOwEAAGRycy9lMm9Eb2MueG1sUEsFBgAAAAAGAAYAWQEAAGoFAAAAAA==&#10;">
                      <v:fill on="f" focussize="0,0"/>
                      <v:stroke weight="1.5pt" color="#FF0000" joinstyle="round"/>
                      <v:imagedata o:title=""/>
                      <o:lock v:ext="edit" aspectratio="f"/>
                    </v:shape>
                  </w:pict>
                </mc:Fallback>
              </mc:AlternateContent>
            </w:r>
          </w:p>
        </w:tc>
      </w:tr>
    </w:tbl>
    <w:p>
      <w:pPr>
        <w:widowControl/>
        <w:adjustRightInd w:val="0"/>
        <w:contextualSpacing/>
        <w:rPr>
          <w:rFonts w:ascii="仿宋" w:hAnsi="仿宋" w:eastAsia="仿宋"/>
          <w:sz w:val="32"/>
          <w:szCs w:val="30"/>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32"/>
          <w:lang w:val="en-US"/>
        </w:rPr>
      </w:pPr>
      <w:bookmarkStart w:id="1" w:name="redhead"/>
      <w:r>
        <w:rPr>
          <w:rFonts w:hint="eastAsia" w:ascii="方正小标宋简体" w:hAnsi="方正小标宋简体" w:eastAsia="方正小标宋简体" w:cs="方正小标宋简体"/>
          <w:kern w:val="2"/>
          <w:sz w:val="44"/>
          <w:szCs w:val="32"/>
          <w:lang w:val="en-US" w:eastAsia="zh-CN" w:bidi="ar"/>
        </w:rPr>
        <w:t>关于进一步做好我校货物和服务验收工作有关事项的通知</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全校各单位：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进一步强化履约验收作用，推动实现优质优价采购，根据《中华人民共和国政府采购法》及其实施条例、《财政部关于进一步加强政府采购需求和履约验收管理的指导意见》以及《厦门大学采购管理办法》等相关规定，现就做好我校货物和服务验收工作有关事项通知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一、落实验收主体责任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严格规范开展履约验收是加强采购结果管理的重要举措，是保证采购质量、开展绩效评价、形成闭环管理的重要环节。各单位要充分认识履约验收管理的重要性和必要性，切实加强内控管理，明确验收机制，确认验收结论，履行验收责任，及时处理验收中发现的问题，进一步强化采购活动结果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按照学校验收工作“用户主导、多方参与、相互监督、权责明确”的原则，用户单位是采购项目验收工作的责任主体，负责对供应商履行采购合同情况进行检验、核实和评估，以确认其提供的货物、服务是否符合采购合同约定的标准和要求。科研仪器设备，服务采购项目，学校招投标中心采购限额以下的非科研仪器设备由用户单位自行验收；学校招投标中心采购限额以上的非科研仪器设备由用户单位组织发起监督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资产与后勤事务管理处（以下简称资产后勤处）作为业务归口管理部门，负责指导和监督用户单位按照合同约定规范开展验收工作，制定采购履约验收规范模板，参与相关项目的监督验收等工作。除本通知所附《货物验收报告（初验）》《货物验收报告（终验）》外，其他新增验收模板将陆续在资产后勤处网站发布，各单位应当参照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二、强化验收过程管理</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（一）制定验收方案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用户单位应当根据采购项目的具体情况，合理制定详细的采购项目验收工作方案。验收方案应当包括项目基本情况、验收小组组建、验收方法、验收内容、验收组织机构等内容。</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（二）明确验收方式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方式分为一次性验收、分段验收和分期验收三种。对于涉及到原材料查验、内部设备安装等隐蔽环节，以及需要设置出厂、到货、安装调试、配套服务检验等多重验收环节的项目，应当采取分段验收方式。服务类项目，可根据项目特点对服务期内的服务实施情况进行分期考核，结合考核情况和服务效果进行分期验收。</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（三）细化验收内容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应包括初验和终验。初验指使用方到货时根据采购文件、合同清单对货物外包装、品牌型号、规格、数量等进行核对，同时查验相关的合格证书及技术资料，并出具初验确认单；终验指货物完成安装调试且运行正常情况下，对货物技术参数、性能等方面的质量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1.初验时，使用单位应与供应商当面清点仪器设备及附件，并在初验报告上登记并签字确认；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初验包括但不限于以下内容：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（1）检查货物外包装是否完好；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（2）检查货物主件和配件外表有无残损、锈蚀等；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（3）检查货物的主件、配件的数量以及型号、规格等；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（4）检查相关资料是否齐全，如仪器设备使用说明书、检修手册、产品合格证、保修卡、光盘资料、进口设备的报关清单（如有）等。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终验应在仪器设备安装调试、联机调试工作完毕、培训工作结束且设备进行了必要的试运行后进行。由供应商向用户单位发出项目验收建议。用户单位原则上应当自收到验收建议之日起7个工作日内启动项目验收，并通知供应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终验包括但不限于以下内容：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（1）核对初验验收意见，对于初验不合格的需复验是否已整改完成。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应严格按照合同约定的标准、技术协议及产品出厂的主要技术指标，审查供应商提供的安装调试及测试报告（计量、检测设备须提供具有检测资质的第三方检测报告）、联机调试报告，逐项验收仪器设备的各项功能。</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（四）完善多方验收机制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用户单位、资产后勤处可以根据采购项目的具体情况，邀请国家认可的质量检测机构、评估机构或者行业主管部门等参与验收。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1.行业验收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行业验收指有关行政部门对验收有强制性要求（如电梯、行车等）或者因专业性需要委托第三方机构验收的，按照政府或行业规定的要求进行验收。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三方机构应当是具有资质的专业质量检测机构，委托第三方机构进行履约验收，应当订立委托代理协议，明确委托代理内容、标准、要求等权利义务事项。验收标准应当符合国家强制性规定、政策要求、安全标准、行业或企业有关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2.社会监督验收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社会监督验收指邀请未中标（成交）供应商、实际使用人或受益者、潜在供应商、社会媒体等（以下简称“社会监督人”）参与采购项目履约验收。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社会监督人在验收过程中可以记录相关数据信息，向学校相关部门反映违法、违规、违约等行为，但不得干扰、阻扰验收工作的正常开展。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（五）规范验收档案管理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结束后，验收小组应当出具验收报告，明确验收意见，并经全体验收人员签字，并由用户单位与供应商盖章确认；委托第三方检测的，需附上检测报告。对验收过程中遗留的非原则性问题，记入验收备忘，供需双方签字确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完成后，应当将所有纸质验收资料作为采购项目档案妥善保管，不得伪造、编造、隐匿或者违规销毁。政府采购项目验收资料保存期为验收结束之日起至少15年；非政府采购项目验收资料保存期为验收结束之日起至少5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三、妥善处理争议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采购合同没有约定或约定不明确的验收内容和标准，合同当事人可以进行协商达成补充约定；不能协商一致且不能按采购合同相关条款或者交易习惯确定的，按《中华人民共和国民法典》合同履行的有关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结果与采购合同约定的内容不完全一致的，经验收小组确认，供应商所提供的货物或服务较合同约定的内容提高了使用功能、标准或者属于技术更新换代产品，在不影响、不降低整个采购项目的运行质量和功能以及合同金额不提高的前提下，可以验收通过。其他不符合情况的，处理方式按《厦门大学货物和服务验收管理办法》第十五条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验收未通过的，处理方式按《厦门大学货物和服务验收管理办法》第十七条规定执行。因供应商原因导致项目整改后才能验收合格的或因供应商原因导致同一项目连续两次验收未通过等情形，应当及时向学校政府采购管理办公室（以下简称采购办）反映供应商违约失信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项目验收合格应当作为采购项目资金支付的必要条件。验收不合格的，应当终止资金支付，并按照采购合同约定，对供应商提起追偿。涉及分段验收付款的项目，应当具备符合合同约定的阶段性验收报告。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黑体" w:hAnsi="宋体" w:eastAsia="黑体" w:cs="Times New Roman"/>
          <w:kern w:val="2"/>
          <w:sz w:val="32"/>
          <w:szCs w:val="32"/>
          <w:lang w:val="en-US" w:eastAsia="zh-CN" w:bidi="ar"/>
        </w:rPr>
        <w:t>四、其他事项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相关当事人在采购项目履约验收过程中，存在违法违规行为的，由学校采购办依据相应的法律法规和学校采购管理相关规定进行处理；给他人造成损失的，应当赔偿相应损失；涉嫌犯罪的，依法移送司法机关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本通知自公布之日起执行，由资产后勤处负责解释。此前有关规定与本通知不一致的，按照本通知执行，执行过程中如遇国家政策调整或与国家政策有冲突的从其规定。</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仿宋" w:hAnsi="仿宋" w:eastAsia="仿宋" w:cs="仿宋"/>
          <w:sz w:val="32"/>
          <w:szCs w:val="32"/>
        </w:rPr>
      </w:pPr>
      <w:r>
        <w:rPr>
          <w:rFonts w:hint="default" w:ascii="仿宋" w:hAnsi="仿宋" w:eastAsia="仿宋" w:cs="仿宋"/>
          <w:sz w:val="32"/>
          <w:szCs w:val="32"/>
        </w:rPr>
        <w:t xml:space="preserve">    </w:t>
      </w:r>
    </w:p>
    <w:p>
      <w:pPr>
        <w:keepNext w:val="0"/>
        <w:keepLines w:val="0"/>
        <w:widowControl w:val="0"/>
        <w:suppressLineNumbers w:val="0"/>
        <w:spacing w:before="0" w:beforeAutospacing="0" w:after="0" w:afterAutospacing="0" w:line="560" w:lineRule="exact"/>
        <w:ind w:left="0" w:leftChars="0" w:right="0" w:firstLine="640" w:firstLineChars="200"/>
        <w:jc w:val="both"/>
        <w:rPr>
          <w:rFonts w:hint="default" w:ascii="仿宋" w:hAnsi="仿宋" w:eastAsia="仿宋" w:cs="仿宋"/>
          <w:sz w:val="32"/>
          <w:szCs w:val="32"/>
        </w:rPr>
      </w:pPr>
      <w:r>
        <w:rPr>
          <w:rFonts w:hint="default" w:ascii="仿宋" w:hAnsi="仿宋" w:eastAsia="仿宋" w:cs="仿宋"/>
          <w:sz w:val="32"/>
          <w:szCs w:val="32"/>
        </w:rPr>
        <w:t>附件：1.货物验收报告（初验）</w:t>
      </w:r>
    </w:p>
    <w:p>
      <w:pPr>
        <w:keepNext w:val="0"/>
        <w:keepLines w:val="0"/>
        <w:widowControl w:val="0"/>
        <w:suppressLineNumbers w:val="0"/>
        <w:spacing w:before="0" w:beforeAutospacing="0" w:after="0" w:afterAutospacing="0" w:line="560" w:lineRule="exact"/>
        <w:ind w:left="0" w:leftChars="0" w:right="0" w:firstLine="0" w:firstLineChars="0"/>
        <w:jc w:val="both"/>
        <w:rPr>
          <w:rFonts w:hint="default" w:ascii="仿宋" w:hAnsi="仿宋" w:eastAsia="仿宋" w:cs="仿宋"/>
          <w:sz w:val="32"/>
          <w:szCs w:val="32"/>
        </w:rPr>
      </w:pPr>
      <w:r>
        <w:rPr>
          <w:rFonts w:hint="default" w:ascii="仿宋" w:hAnsi="仿宋" w:eastAsia="仿宋" w:cs="仿宋"/>
          <w:sz w:val="32"/>
          <w:szCs w:val="32"/>
        </w:rPr>
        <w:t xml:space="preserve">          2.货物验收报告（终验）</w:t>
      </w:r>
    </w:p>
    <w:p>
      <w:pPr>
        <w:keepNext w:val="0"/>
        <w:keepLines w:val="0"/>
        <w:widowControl w:val="0"/>
        <w:suppressLineNumbers w:val="0"/>
        <w:spacing w:before="0" w:beforeAutospacing="0" w:after="0" w:afterAutospacing="0" w:line="560" w:lineRule="exact"/>
        <w:ind w:left="0" w:right="840" w:rightChars="400" w:firstLine="640" w:firstLineChars="200"/>
        <w:jc w:val="righ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840" w:rightChars="400" w:firstLine="640" w:firstLineChars="200"/>
        <w:jc w:val="righ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840" w:rightChars="400" w:firstLine="640" w:firstLineChars="200"/>
        <w:jc w:val="right"/>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630" w:rightChars="300" w:firstLine="640" w:firstLineChars="200"/>
        <w:jc w:val="righ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资产与后勤事务管理处</w:t>
      </w:r>
    </w:p>
    <w:p>
      <w:pPr>
        <w:keepNext w:val="0"/>
        <w:keepLines w:val="0"/>
        <w:widowControl w:val="0"/>
        <w:suppressLineNumbers w:val="0"/>
        <w:spacing w:before="0" w:beforeAutospacing="0" w:after="0" w:afterAutospacing="0" w:line="560" w:lineRule="exact"/>
        <w:ind w:left="0" w:right="1050" w:rightChars="500" w:firstLine="640" w:firstLineChars="200"/>
        <w:jc w:val="right"/>
        <w:rPr>
          <w:rFonts w:hint="eastAsia" w:ascii="仿宋" w:hAnsi="仿宋" w:eastAsia="仿宋" w:cs="仿宋"/>
          <w:sz w:val="32"/>
          <w:szCs w:val="32"/>
          <w:lang w:val="en-US"/>
        </w:rPr>
      </w:pPr>
      <w:r>
        <w:rPr>
          <w:rFonts w:hint="default" w:ascii="仿宋" w:hAnsi="仿宋" w:eastAsia="仿宋" w:cs="仿宋"/>
          <w:kern w:val="2"/>
          <w:sz w:val="32"/>
          <w:szCs w:val="32"/>
          <w:lang w:eastAsia="zh-CN" w:bidi="ar"/>
        </w:rPr>
        <w:t xml:space="preserve"> </w:t>
      </w:r>
      <w:r>
        <w:rPr>
          <w:rFonts w:hint="eastAsia" w:ascii="仿宋" w:hAnsi="仿宋" w:eastAsia="仿宋" w:cs="仿宋"/>
          <w:kern w:val="2"/>
          <w:sz w:val="32"/>
          <w:szCs w:val="32"/>
          <w:lang w:val="en-US" w:eastAsia="zh-CN" w:bidi="ar"/>
        </w:rPr>
        <w:t>2022年7月1</w:t>
      </w:r>
      <w:r>
        <w:rPr>
          <w:rFonts w:hint="default" w:ascii="仿宋" w:hAnsi="仿宋" w:eastAsia="仿宋" w:cs="仿宋"/>
          <w:kern w:val="2"/>
          <w:sz w:val="32"/>
          <w:szCs w:val="32"/>
          <w:lang w:eastAsia="zh-CN" w:bidi="ar"/>
        </w:rPr>
        <w:t>9</w:t>
      </w:r>
      <w:r>
        <w:rPr>
          <w:rFonts w:hint="eastAsia" w:ascii="仿宋" w:hAnsi="仿宋" w:eastAsia="仿宋" w:cs="仿宋"/>
          <w:kern w:val="2"/>
          <w:sz w:val="32"/>
          <w:szCs w:val="32"/>
          <w:lang w:val="en-US" w:eastAsia="zh-CN" w:bidi="ar"/>
        </w:rPr>
        <w:t>日</w:t>
      </w:r>
    </w:p>
    <w:p>
      <w:pPr>
        <w:widowControl/>
        <w:autoSpaceDE w:val="0"/>
        <w:autoSpaceDN w:val="0"/>
        <w:adjustRightInd w:val="0"/>
        <w:jc w:val="left"/>
        <w:rPr>
          <w:rFonts w:hint="eastAsia" w:ascii="微软雅黑" w:hAnsi="微软雅黑" w:eastAsia="微软雅黑" w:cs="Times"/>
          <w:kern w:val="0"/>
          <w:sz w:val="21"/>
          <w:szCs w:val="21"/>
          <w:lang w:val="en-US" w:eastAsia="zh-CN"/>
        </w:rPr>
      </w:pPr>
    </w:p>
    <w:bookmarkEnd w:id="1"/>
    <w:p>
      <w:pPr>
        <w:widowControl/>
        <w:adjustRightInd w:val="0"/>
        <w:contextualSpacing/>
        <w:rPr>
          <w:rFonts w:hint="eastAsia" w:ascii="仿宋" w:hAnsi="仿宋" w:eastAsia="仿宋"/>
          <w:sz w:val="32"/>
          <w:szCs w:val="30"/>
        </w:rPr>
      </w:pPr>
      <w:bookmarkStart w:id="6" w:name="_GoBack"/>
      <w:r>
        <w:rPr>
          <w:rFonts w:hint="eastAsia" w:ascii="仿宋" w:hAnsi="仿宋" w:eastAsia="仿宋"/>
          <w:sz w:val="32"/>
          <w:szCs w:val="30"/>
        </w:rPr>
        <mc:AlternateContent>
          <mc:Choice Requires="wps">
            <w:drawing>
              <wp:anchor distT="0" distB="0" distL="114300" distR="114300" simplePos="0" relativeHeight="251657216" behindDoc="0" locked="0" layoutInCell="1" allowOverlap="1">
                <wp:simplePos x="0" y="0"/>
                <wp:positionH relativeFrom="margin">
                  <wp:posOffset>-1905</wp:posOffset>
                </wp:positionH>
                <wp:positionV relativeFrom="margin">
                  <wp:align>bottom</wp:align>
                </wp:positionV>
                <wp:extent cx="5615940" cy="504190"/>
                <wp:effectExtent l="0" t="254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5940" cy="504190"/>
                        </a:xfrm>
                        <a:prstGeom prst="rect">
                          <a:avLst/>
                        </a:prstGeom>
                        <a:solidFill>
                          <a:srgbClr val="FFFFFF"/>
                        </a:solidFill>
                        <a:ln>
                          <a:noFill/>
                        </a:ln>
                      </wps:spPr>
                      <wps:txbx>
                        <w:txbxContent>
                          <w:tbl>
                            <w:tblPr>
                              <w:tblStyle w:val="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_GB2312" w:hAnsi="仿宋_GB2312" w:eastAsia="仿宋_GB2312"/>
                                      <w:sz w:val="28"/>
                                      <w:lang w:eastAsia="zh-CN"/>
                                    </w:rPr>
                                  </w:pPr>
                                  <w:r>
                                    <w:rPr>
                                      <w:rFonts w:hint="eastAsia" w:ascii="仿宋_GB2312" w:hAnsi="仿宋_GB2312" w:eastAsia="仿宋_GB2312"/>
                                      <w:sz w:val="28"/>
                                      <w:lang w:eastAsia="zh-CN"/>
                                    </w:rPr>
                                    <w:t>资产与后勤事务管理处</w:t>
                                  </w:r>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_GB2312" w:hAnsi="仿宋_GB2312" w:eastAsia="仿宋_GB2312"/>
                                      <w:sz w:val="28"/>
                                    </w:rPr>
                                  </w:pPr>
                                  <w:r>
                                    <w:rPr>
                                      <w:rFonts w:hint="eastAsia" w:ascii="仿宋_GB2312" w:hAnsi="仿宋_GB2312" w:eastAsia="仿宋_GB2312"/>
                                      <w:sz w:val="28"/>
                                      <w:lang w:eastAsia="zh-CN"/>
                                    </w:rPr>
                                    <w:t>2022年7月19日</w:t>
                                  </w:r>
                                  <w:r>
                                    <w:rPr>
                                      <w:rFonts w:hint="eastAsia" w:ascii="仿宋_GB2312" w:hAnsi="仿宋_GB2312" w:eastAsia="仿宋_GB2312"/>
                                      <w:sz w:val="28"/>
                                    </w:rPr>
                                    <w:t>印发</w:t>
                                  </w:r>
                                </w:p>
                              </w:tc>
                            </w:tr>
                          </w:tbl>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15pt;height:39.7pt;width:442.2pt;mso-position-horizontal-relative:margin;mso-position-vertical:bottom;mso-position-vertical-relative:margin;mso-wrap-distance-bottom:0pt;mso-wrap-distance-left:9pt;mso-wrap-distance-right:9pt;mso-wrap-distance-top:0pt;z-index:251657216;mso-width-relative:page;mso-height-relative:page;" fillcolor="#FFFFFF" filled="t" stroked="f" coordsize="21600,21600" o:gfxdata="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VN37TU&#10;AAAABQEAAA8AAAAAAAAAAQAgAAAAOAAAAGRycy9kb3ducmV2LnhtbFBLAQIUABQAAAAIAIdO4kAp&#10;SavqDgIAAPADAAAOAAAAAAAAAAEAIAAAADkBAABkcnMvZTJvRG9jLnhtbFBLBQYAAAAABgAGAFkB&#10;AAC5BQAAAAA=&#10;">
                <v:fill on="t" focussize="0,0"/>
                <v:stroke on="f"/>
                <v:imagedata o:title=""/>
                <o:lock v:ext="edit" aspectratio="f"/>
                <v:textbox>
                  <w:txbxContent>
                    <w:tbl>
                      <w:tblPr>
                        <w:tblStyle w:val="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_GB2312" w:hAnsi="仿宋_GB2312" w:eastAsia="仿宋_GB2312"/>
                                <w:sz w:val="28"/>
                                <w:lang w:eastAsia="zh-CN"/>
                              </w:rPr>
                            </w:pPr>
                            <w:r>
                              <w:rPr>
                                <w:rFonts w:hint="eastAsia" w:ascii="仿宋_GB2312" w:hAnsi="仿宋_GB2312" w:eastAsia="仿宋_GB2312"/>
                                <w:sz w:val="28"/>
                                <w:lang w:eastAsia="zh-CN"/>
                              </w:rPr>
                              <w:t>资产与后勤事务管理处</w:t>
                            </w:r>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_GB2312" w:hAnsi="仿宋_GB2312" w:eastAsia="仿宋_GB2312"/>
                                <w:sz w:val="28"/>
                              </w:rPr>
                            </w:pPr>
                            <w:r>
                              <w:rPr>
                                <w:rFonts w:hint="eastAsia" w:ascii="仿宋_GB2312" w:hAnsi="仿宋_GB2312" w:eastAsia="仿宋_GB2312"/>
                                <w:sz w:val="28"/>
                                <w:lang w:eastAsia="zh-CN"/>
                              </w:rPr>
                              <w:t>2022年7月19日</w:t>
                            </w:r>
                            <w:r>
                              <w:rPr>
                                <w:rFonts w:hint="eastAsia" w:ascii="仿宋_GB2312" w:hAnsi="仿宋_GB2312" w:eastAsia="仿宋_GB2312"/>
                                <w:sz w:val="28"/>
                              </w:rPr>
                              <w:t>印发</w:t>
                            </w:r>
                          </w:p>
                        </w:tc>
                      </w:tr>
                    </w:tbl>
                    <w:p/>
                  </w:txbxContent>
                </v:textbox>
                <w10:wrap type="square"/>
              </v:shape>
            </w:pict>
          </mc:Fallback>
        </mc:AlternateContent>
      </w:r>
      <w:bookmarkEnd w:id="6"/>
      <w:bookmarkStart w:id="2" w:name="doctype"/>
      <w:bookmarkEnd w:id="2"/>
      <w:bookmarkStart w:id="3" w:name="printunit"/>
      <w:bookmarkEnd w:id="3"/>
      <w:bookmarkStart w:id="4" w:name="printdate"/>
      <w:bookmarkEnd w:id="4"/>
      <w:bookmarkStart w:id="5" w:name="xmusendunit"/>
      <w:bookmarkEnd w:id="5"/>
    </w:p>
    <w:sectPr>
      <w:footerReference r:id="rId5" w:type="first"/>
      <w:footerReference r:id="rId3" w:type="default"/>
      <w:footerReference r:id="rId4" w:type="even"/>
      <w:pgSz w:w="11906" w:h="16838"/>
      <w:pgMar w:top="2098" w:right="1474" w:bottom="1985" w:left="1588" w:header="851" w:footer="1417" w:gutter="0"/>
      <w:pgNumType w:fmt="numberInDash"/>
      <w:cols w:space="720" w:num="1"/>
      <w:titlePg/>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Bookman Old Style">
    <w:panose1 w:val="0205060405050509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Times">
    <w:panose1 w:val="020B7200000000000000"/>
    <w:charset w:val="00"/>
    <w:family w:val="roman"/>
    <w:pitch w:val="default"/>
    <w:sig w:usb0="00000000" w:usb1="00000000" w:usb2="00000000" w:usb3="00000000" w:csb0="000071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3" w:firstLineChars="9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8" w:rightChars="161" w:firstLine="26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29"/>
    <w:rsid w:val="0000383D"/>
    <w:rsid w:val="000B2A3C"/>
    <w:rsid w:val="000C6E1F"/>
    <w:rsid w:val="000E7300"/>
    <w:rsid w:val="000F0D2C"/>
    <w:rsid w:val="001224A9"/>
    <w:rsid w:val="001350FA"/>
    <w:rsid w:val="00160912"/>
    <w:rsid w:val="00164C2E"/>
    <w:rsid w:val="001703C5"/>
    <w:rsid w:val="00192616"/>
    <w:rsid w:val="00195991"/>
    <w:rsid w:val="00197115"/>
    <w:rsid w:val="001D45E1"/>
    <w:rsid w:val="001F6A36"/>
    <w:rsid w:val="0024751B"/>
    <w:rsid w:val="00273341"/>
    <w:rsid w:val="002C6A67"/>
    <w:rsid w:val="002F7763"/>
    <w:rsid w:val="00315E95"/>
    <w:rsid w:val="0033085D"/>
    <w:rsid w:val="003725AF"/>
    <w:rsid w:val="003C2476"/>
    <w:rsid w:val="003D2619"/>
    <w:rsid w:val="004F5752"/>
    <w:rsid w:val="00503E39"/>
    <w:rsid w:val="00556983"/>
    <w:rsid w:val="00566316"/>
    <w:rsid w:val="00571DE5"/>
    <w:rsid w:val="00580825"/>
    <w:rsid w:val="005D467A"/>
    <w:rsid w:val="0067351C"/>
    <w:rsid w:val="00682D71"/>
    <w:rsid w:val="006A05A0"/>
    <w:rsid w:val="006F11E3"/>
    <w:rsid w:val="00717B2D"/>
    <w:rsid w:val="007A6262"/>
    <w:rsid w:val="007B3E0E"/>
    <w:rsid w:val="007B672D"/>
    <w:rsid w:val="007C3F5F"/>
    <w:rsid w:val="0083313E"/>
    <w:rsid w:val="008B70FD"/>
    <w:rsid w:val="008C1469"/>
    <w:rsid w:val="008C3814"/>
    <w:rsid w:val="00921EBA"/>
    <w:rsid w:val="00987C01"/>
    <w:rsid w:val="009C55DF"/>
    <w:rsid w:val="009E53B0"/>
    <w:rsid w:val="00A87F1F"/>
    <w:rsid w:val="00AC3015"/>
    <w:rsid w:val="00AE4B2F"/>
    <w:rsid w:val="00B10629"/>
    <w:rsid w:val="00B43A78"/>
    <w:rsid w:val="00C03C0D"/>
    <w:rsid w:val="00C03CC7"/>
    <w:rsid w:val="00C12A6C"/>
    <w:rsid w:val="00C872EA"/>
    <w:rsid w:val="00C9593F"/>
    <w:rsid w:val="00CB6FB9"/>
    <w:rsid w:val="00CD0CEE"/>
    <w:rsid w:val="00D16EA5"/>
    <w:rsid w:val="00D8475C"/>
    <w:rsid w:val="00DA54B0"/>
    <w:rsid w:val="00DB0EB5"/>
    <w:rsid w:val="00E275A2"/>
    <w:rsid w:val="00EB1F29"/>
    <w:rsid w:val="00EC3944"/>
    <w:rsid w:val="00EC647E"/>
    <w:rsid w:val="00ED2F49"/>
    <w:rsid w:val="00F04981"/>
    <w:rsid w:val="00F04EA6"/>
    <w:rsid w:val="00F36E29"/>
    <w:rsid w:val="00F559B0"/>
    <w:rsid w:val="00F77A29"/>
    <w:rsid w:val="00FF6A7B"/>
    <w:rsid w:val="374F8ABF"/>
    <w:rsid w:val="37FA7B63"/>
    <w:rsid w:val="3FDF05B2"/>
    <w:rsid w:val="3FF778E2"/>
    <w:rsid w:val="4D6A8000"/>
    <w:rsid w:val="4E75064E"/>
    <w:rsid w:val="57DC10EB"/>
    <w:rsid w:val="5FBF4384"/>
    <w:rsid w:val="5FFBE296"/>
    <w:rsid w:val="657F1FB0"/>
    <w:rsid w:val="667DE0E3"/>
    <w:rsid w:val="6BF51301"/>
    <w:rsid w:val="6FCEA266"/>
    <w:rsid w:val="77FF4C2F"/>
    <w:rsid w:val="78FF4380"/>
    <w:rsid w:val="7D5EB387"/>
    <w:rsid w:val="7DD9802E"/>
    <w:rsid w:val="A5775EB2"/>
    <w:rsid w:val="AFDBF626"/>
    <w:rsid w:val="BFC7C81E"/>
    <w:rsid w:val="BFEF602B"/>
    <w:rsid w:val="BFFB67F1"/>
    <w:rsid w:val="E67FC665"/>
    <w:rsid w:val="E7CB0268"/>
    <w:rsid w:val="EDEFD0C6"/>
    <w:rsid w:val="F6FFA896"/>
    <w:rsid w:val="F73BEFEA"/>
    <w:rsid w:val="FB9FEE70"/>
    <w:rsid w:val="FFFAEF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HAnsi" w:hAnsiTheme="minorHAnsi" w:eastAsiaTheme="minorEastAsia" w:cstheme="minorBidi"/>
      <w:b/>
      <w:kern w:val="44"/>
      <w:sz w:val="44"/>
    </w:rPr>
  </w:style>
  <w:style w:type="character" w:default="1" w:styleId="8">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kern w:val="0"/>
      <w:sz w:val="18"/>
      <w:szCs w:val="18"/>
      <w:lang w:val="zh-CN" w:eastAsia="zh-CN"/>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qFormat/>
    <w:uiPriority w:val="0"/>
  </w:style>
  <w:style w:type="character" w:customStyle="1" w:styleId="10">
    <w:name w:val="页脚 Char"/>
    <w:link w:val="4"/>
    <w:qFormat/>
    <w:uiPriority w:val="99"/>
    <w:rPr>
      <w:rFonts w:ascii="Times New Roman" w:hAnsi="Times New Roman" w:eastAsia="宋体" w:cs="Times New Roman"/>
      <w:kern w:val="0"/>
      <w:sz w:val="18"/>
      <w:szCs w:val="18"/>
      <w:lang w:val="zh-CN" w:eastAsia="zh-CN"/>
    </w:rPr>
  </w:style>
  <w:style w:type="character" w:customStyle="1" w:styleId="11">
    <w:name w:val="批注框文本 字符"/>
    <w:link w:val="3"/>
    <w:semiHidden/>
    <w:qFormat/>
    <w:uiPriority w:val="99"/>
    <w:rPr>
      <w:rFonts w:ascii="Times New Roman" w:hAnsi="Times New Roman"/>
      <w:kern w:val="2"/>
      <w:sz w:val="18"/>
      <w:szCs w:val="18"/>
    </w:rPr>
  </w:style>
  <w:style w:type="character" w:customStyle="1" w:styleId="12">
    <w:name w:val="页眉 字符"/>
    <w:link w:val="5"/>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0</Words>
  <Characters>0</Characters>
  <Lines>0</Lines>
  <Paragraphs>0</Paragraphs>
  <TotalTime>0</TotalTime>
  <ScaleCrop>false</ScaleCrop>
  <LinksUpToDate>false</LinksUpToDate>
  <CharactersWithSpaces>0</CharactersWithSpaces>
  <Application>WWO_wpscloud_20211124172602-ea798320c4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2021-01-24T06:20:00Z</dcterms:created>
  <dc:creator>郑滨</dc:creator>
  <cp:lastModifiedBy>root</cp:lastModifiedBy>
  <dcterms:modified xsi:type="dcterms:W3CDTF">2022-08-03T15:08:09Z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